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557"/>
        <w:gridCol w:w="60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column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6"/>
              <w:ind w:left="39" w:right="-113" w:hanging="70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___04.07.2025_______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№__1924-НПА_____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Style w:val="711"/>
          <w:rFonts w:ascii="Times New Roman" w:hAnsi="Times New Roman"/>
          <w:b/>
          <w:sz w:val="28"/>
          <w:szCs w:val="28"/>
        </w:rPr>
      </w:pPr>
      <w:r>
        <w:rPr>
          <w:rStyle w:val="711"/>
          <w:rFonts w:ascii="Times New Roman" w:hAnsi="Times New Roman"/>
          <w:b/>
          <w:sz w:val="28"/>
          <w:szCs w:val="28"/>
        </w:rPr>
        <w:t xml:space="preserve">Алгоритм</w:t>
      </w:r>
      <w:r>
        <w:rPr>
          <w:rStyle w:val="711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711"/>
          <w:rFonts w:ascii="Times New Roman" w:hAnsi="Times New Roman"/>
          <w:b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оказания паллиативной медицинской помощи детям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(Алгоритм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 Настоящий</w:t>
      </w:r>
      <w:r>
        <w:rPr>
          <w:bCs/>
          <w:sz w:val="28"/>
          <w:szCs w:val="28"/>
        </w:rPr>
        <w:t xml:space="preserve"> Алгоритм</w:t>
      </w:r>
      <w:r>
        <w:rPr>
          <w:bCs/>
          <w:sz w:val="28"/>
          <w:szCs w:val="28"/>
        </w:rPr>
        <w:t xml:space="preserve"> устанавливает правила </w:t>
      </w:r>
      <w:r>
        <w:rPr>
          <w:bCs/>
          <w:sz w:val="28"/>
          <w:szCs w:val="28"/>
        </w:rPr>
        <w:t xml:space="preserve">маршрутизации при оказании</w:t>
      </w:r>
      <w:r>
        <w:rPr>
          <w:bCs/>
          <w:sz w:val="28"/>
          <w:szCs w:val="28"/>
        </w:rPr>
        <w:t xml:space="preserve"> паллиативной медицинской помощи детям</w:t>
      </w:r>
      <w:r>
        <w:rPr>
          <w:bCs/>
          <w:sz w:val="28"/>
          <w:szCs w:val="28"/>
        </w:rPr>
        <w:t xml:space="preserve">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Паллиативная</w:t>
      </w:r>
      <w:r>
        <w:rPr>
          <w:sz w:val="28"/>
          <w:szCs w:val="28"/>
        </w:rPr>
        <w:t xml:space="preserve"> медицинская помощь детям на территории Новосибирской области оказывается:</w:t>
      </w:r>
      <w:r>
        <w:rPr>
          <w:sz w:val="28"/>
          <w:szCs w:val="28"/>
        </w:rPr>
      </w:r>
    </w:p>
    <w:p>
      <w:pPr>
        <w:pStyle w:val="6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амбулаторных условиях выездной патронажной службой во взаимодействии с медицинской организацией, в которой осуществляется наблюдение и/или лечение ребенка</w:t>
      </w:r>
      <w:r>
        <w:rPr>
          <w:sz w:val="28"/>
          <w:szCs w:val="28"/>
        </w:rPr>
        <w:t xml:space="preserve"> по территориально-участковому принципу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утвержденным зонам обслуживания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организации, оказывающие специализированную медицинскую помощь детям по профилю «паллиативная медицинская помощь» в условиях отделений выездной патронажной паллиативной медицинской помощи (выездные паллиативные бригады):</w:t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ГБУЗ НСО «ДЛРЦ»;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ГБУЗ НСО «НКРБ №1»;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ГБУЗ НСО «Тогучинская ЦРБ»;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ГБУЗ НСО «Татарская ЦРБ</w:t>
      </w:r>
      <w:r>
        <w:rPr>
          <w:rFonts w:ascii="Times New Roman" w:hAnsi="Times New Roman"/>
          <w:sz w:val="28"/>
          <w:szCs w:val="28"/>
        </w:rPr>
        <w:t xml:space="preserve"> им. 70-летия НСО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ГБУЗ НСО «Карасукская ЦРБ»</w:t>
      </w:r>
      <w:r>
        <w:rPr>
          <w:rStyle w:val="712"/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круглосуточного стационара в отделениях паллиативной медицинской помощи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ГБУЗ НСО «ДЛРЦ»;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ГБУЗ НСО «НКРБ № 1»;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851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ГБУЗ НСО «ДГКБСМП».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Паллиативная первичная врачебная медицинская помощь оказывается врачами-педиатрами, врачами-педиатрами участковыми, врачами общей практики (семейными врачами), </w:t>
      </w:r>
      <w:r>
        <w:rPr>
          <w:bCs/>
          <w:sz w:val="28"/>
          <w:szCs w:val="28"/>
        </w:rPr>
        <w:t xml:space="preserve">иными </w:t>
      </w:r>
      <w:r>
        <w:rPr>
          <w:bCs/>
          <w:sz w:val="28"/>
          <w:szCs w:val="28"/>
        </w:rPr>
        <w:t xml:space="preserve">врачами-специалистами медицинских организаций, оказывающих первичную медико-санитарную помощь, специализированную медицинскую помощь.</w:t>
      </w:r>
      <w:r>
        <w:rPr>
          <w:bCs/>
          <w:sz w:val="28"/>
          <w:szCs w:val="28"/>
        </w:rPr>
      </w:r>
    </w:p>
    <w:p>
      <w:pPr>
        <w:pStyle w:val="71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</w:t>
      </w:r>
      <w:r>
        <w:rPr>
          <w:bCs/>
          <w:sz w:val="28"/>
          <w:szCs w:val="28"/>
        </w:rPr>
        <w:t xml:space="preserve"> Паллиативная специализированная медицинская помощь детям оказывается врачами-специалистами, занимающими должность врача по паллиативной медицинской помощи, </w:t>
      </w:r>
      <w:r>
        <w:rPr>
          <w:bCs/>
          <w:sz w:val="28"/>
          <w:szCs w:val="28"/>
        </w:rPr>
        <w:t xml:space="preserve">отделений выездной патронажной паллиативной медицинской помощи детям, отделений (коек) паллиативной медицинской помощи детям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прошедшими </w:t>
      </w:r>
      <w:r>
        <w:rPr>
          <w:bCs/>
          <w:sz w:val="28"/>
          <w:szCs w:val="28"/>
        </w:rPr>
        <w:t xml:space="preserve">обучение и получившими серт</w:t>
      </w:r>
      <w:r>
        <w:rPr>
          <w:bCs/>
          <w:sz w:val="28"/>
          <w:szCs w:val="28"/>
        </w:rPr>
        <w:t xml:space="preserve">ификат по оказанию такой помощи </w:t>
      </w:r>
      <w:r>
        <w:rPr>
          <w:bCs/>
          <w:sz w:val="28"/>
          <w:szCs w:val="28"/>
        </w:rPr>
        <w:t xml:space="preserve">иными врачами-специалистами.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5. </w:t>
      </w:r>
      <w:r>
        <w:rPr>
          <w:sz w:val="28"/>
          <w:szCs w:val="28"/>
        </w:rPr>
        <w:t xml:space="preserve">Паллиативная медицинская помощь оказывается медицинскими работниками, прошедшими обучение по оказанию такой помощи</w:t>
      </w:r>
      <w:r>
        <w:rPr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Наличие у ребенка медицинских показаний для оказания ему паллиативной медицинской помощи </w:t>
      </w:r>
      <w:r>
        <w:rPr>
          <w:rFonts w:ascii="Times New Roman" w:hAnsi="Times New Roman"/>
          <w:bCs/>
          <w:sz w:val="28"/>
          <w:szCs w:val="28"/>
        </w:rPr>
        <w:t xml:space="preserve">определяет лечащий врач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которые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подтверждаю</w:t>
      </w:r>
      <w:r>
        <w:rPr>
          <w:rFonts w:ascii="Times New Roman" w:hAnsi="Times New Roman"/>
          <w:bCs/>
          <w:sz w:val="28"/>
          <w:szCs w:val="28"/>
        </w:rPr>
        <w:t xml:space="preserve">тся </w:t>
      </w:r>
      <w:r>
        <w:rPr>
          <w:rFonts w:ascii="Times New Roman" w:hAnsi="Times New Roman"/>
          <w:bCs/>
          <w:sz w:val="28"/>
          <w:szCs w:val="28"/>
        </w:rPr>
        <w:t xml:space="preserve">медицинским заключением </w:t>
      </w:r>
      <w:r>
        <w:rPr>
          <w:rFonts w:ascii="Times New Roman" w:hAnsi="Times New Roman"/>
          <w:bCs/>
          <w:sz w:val="28"/>
          <w:szCs w:val="28"/>
        </w:rPr>
        <w:t xml:space="preserve">врачебной комиссией (далее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ВК) медиц</w:t>
      </w:r>
      <w:r>
        <w:rPr>
          <w:rFonts w:ascii="Times New Roman" w:hAnsi="Times New Roman"/>
          <w:bCs/>
          <w:sz w:val="28"/>
          <w:szCs w:val="28"/>
        </w:rPr>
        <w:t xml:space="preserve">инской организации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 врачебной 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омиссии медицинской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рекомендуется включать руководителя медицинской организации или его заместителя, заведующего структурным подразделением медицинской организации, лечащего врача по профилю заболевания ребенка, врача по паллиативной медицинск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помощи, врача по медицинской реабилитации. При отсутствии в медицинской организации врача по медицинской реабилитации, врача по паллиативной медицинской помощи медицинская организация привлекает для участия во врачебной комиссии медицинской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консилиума врачей медицинских работников иных медицинских организаций.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л</w:t>
      </w:r>
      <w:r>
        <w:rPr>
          <w:bCs/>
          <w:sz w:val="28"/>
          <w:szCs w:val="28"/>
        </w:rPr>
        <w:t xml:space="preserve">ечащий врач принима</w:t>
      </w:r>
      <w:r>
        <w:rPr>
          <w:bCs/>
          <w:sz w:val="28"/>
          <w:szCs w:val="28"/>
        </w:rPr>
        <w:t xml:space="preserve">ет решение о направлении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пациентов </w:t>
      </w:r>
      <w:r>
        <w:rPr>
          <w:bCs/>
          <w:sz w:val="28"/>
          <w:szCs w:val="28"/>
        </w:rPr>
        <w:t xml:space="preserve">на ВК </w:t>
      </w:r>
      <w:r>
        <w:rPr>
          <w:bCs/>
          <w:sz w:val="28"/>
          <w:szCs w:val="28"/>
        </w:rPr>
        <w:t xml:space="preserve">в целях установления</w:t>
      </w:r>
      <w:r>
        <w:rPr>
          <w:bCs/>
          <w:sz w:val="28"/>
          <w:szCs w:val="28"/>
        </w:rPr>
        <w:t xml:space="preserve"> паллиативного статуса </w:t>
      </w:r>
      <w:r>
        <w:rPr>
          <w:bCs/>
          <w:sz w:val="28"/>
          <w:szCs w:val="28"/>
        </w:rPr>
        <w:t xml:space="preserve">детям с неизлечимыми заболеваниями или состояниями, угрожающими жизни или сокращающими ее продолжительность, по медицинским показаниям с учетом тяжести, функционального состояния и прогноза основного заболевания, в том числе:</w:t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распространенные и метастатические формы злокачественных новообразований при невозможности достичь клинико-лабораторной ремиссии;</w:t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поражение нервной системы врожденного или прио</w:t>
      </w:r>
      <w:r>
        <w:rPr>
          <w:bCs/>
          <w:sz w:val="28"/>
          <w:szCs w:val="28"/>
        </w:rPr>
        <w:t xml:space="preserve">бретенного характера (включая нейродегенеративные и нервно-мышечные заболевания, врожденные пороки развития, тяжелые гипоксически-травматические поражения нервной системы любого генеза, поражения нервной системы при генетически обусловленных заболеваниях);</w:t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неоперабельные врожденные пороки развития;</w:t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поздние стадии неизлечимых хронических прогрессирующих соматических заболеваний в стадии субкомпенсации и декомпенсации жизненно важных систем, нуждающиеся в симптоматическом лечении и уходе;</w:t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последствия травм и социально значимых заболеваний, сопровождающиеся снижением (ограничением) функции органов и систем, с неблагоприятным прогнозом.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 результатам заседания </w:t>
      </w:r>
      <w:r>
        <w:rPr>
          <w:bCs/>
          <w:sz w:val="28"/>
          <w:szCs w:val="28"/>
        </w:rPr>
        <w:t xml:space="preserve">ВК оформляется </w:t>
      </w:r>
      <w:r>
        <w:rPr>
          <w:bCs/>
          <w:sz w:val="28"/>
          <w:szCs w:val="28"/>
        </w:rPr>
        <w:t xml:space="preserve">медицинское заключение о</w:t>
      </w:r>
      <w:r>
        <w:rPr>
          <w:bCs/>
          <w:sz w:val="28"/>
          <w:szCs w:val="28"/>
        </w:rPr>
        <w:t xml:space="preserve">б установлении</w:t>
      </w:r>
      <w:r>
        <w:rPr>
          <w:bCs/>
          <w:sz w:val="28"/>
          <w:szCs w:val="28"/>
        </w:rPr>
        <w:t xml:space="preserve"> паллиативного статуса</w:t>
      </w:r>
      <w:r>
        <w:rPr>
          <w:bCs/>
          <w:sz w:val="28"/>
          <w:szCs w:val="28"/>
        </w:rPr>
        <w:t xml:space="preserve"> ребенку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</w:t>
      </w:r>
      <w:r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к Алгоритму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с целью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взаимодействия с </w:t>
      </w:r>
      <w:r>
        <w:rPr>
          <w:rFonts w:ascii="Times New Roman" w:hAnsi="Times New Roman"/>
          <w:sz w:val="28"/>
          <w:szCs w:val="28"/>
        </w:rPr>
        <w:t xml:space="preserve">отделениями выездной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патронажной</w:t>
      </w:r>
      <w:r>
        <w:rPr>
          <w:rFonts w:ascii="Times New Roman" w:hAnsi="Times New Roman"/>
          <w:sz w:val="28"/>
          <w:szCs w:val="28"/>
        </w:rPr>
        <w:t xml:space="preserve"> паллиативной </w:t>
      </w:r>
      <w:r>
        <w:rPr>
          <w:rFonts w:ascii="Times New Roman" w:hAnsi="Times New Roman"/>
          <w:sz w:val="28"/>
          <w:szCs w:val="28"/>
        </w:rPr>
        <w:t xml:space="preserve">медицинской помощи детям</w:t>
      </w:r>
      <w:r>
        <w:rPr>
          <w:rFonts w:ascii="Times New Roman" w:hAnsi="Times New Roman"/>
          <w:sz w:val="28"/>
          <w:szCs w:val="28"/>
        </w:rPr>
        <w:t xml:space="preserve"> врачом-педиатром участковым разрабатывается план диспансерного наблюдения паллиативного пациента, согласно утвержденной формы «</w:t>
      </w:r>
      <w:r>
        <w:rPr>
          <w:rFonts w:ascii="Times New Roman" w:hAnsi="Times New Roman"/>
          <w:bCs/>
          <w:sz w:val="28"/>
          <w:szCs w:val="28"/>
        </w:rPr>
        <w:t xml:space="preserve">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диспансерного наблюдения паллиативных пациентов </w:t>
      </w:r>
      <w:r>
        <w:rPr>
          <w:rFonts w:ascii="Times New Roman" w:hAnsi="Times New Roman"/>
          <w:sz w:val="28"/>
          <w:szCs w:val="28"/>
        </w:rPr>
        <w:t xml:space="preserve">медицинскими организациями, оказывающих первичную медико-санитарную помощь по территориально-участковому принципу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план) </w:t>
      </w:r>
      <w:r>
        <w:rPr>
          <w:rFonts w:ascii="Times New Roman" w:hAnsi="Times New Roman"/>
          <w:sz w:val="28"/>
          <w:szCs w:val="28"/>
        </w:rPr>
        <w:t xml:space="preserve">и ежеквартально предоставляются</w:t>
      </w:r>
      <w:r>
        <w:rPr>
          <w:rFonts w:ascii="Times New Roman" w:hAnsi="Times New Roman"/>
          <w:sz w:val="28"/>
          <w:szCs w:val="28"/>
        </w:rPr>
        <w:t xml:space="preserve"> данные по выполнению плана главному внештатному специалисту по паллиативной помощи детям министерства здравоохранения Новосибирской области, главному врачу ГБУЗ НСО «ДЛРЦ» по защищенному каналу связи VipNet ГБУЗ НСО РСДР 5;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едицинская организация, выявившая ребенка, </w:t>
      </w:r>
      <w:r>
        <w:rPr>
          <w:bCs/>
          <w:sz w:val="28"/>
          <w:szCs w:val="28"/>
        </w:rPr>
        <w:t xml:space="preserve">нуждающегося в оказании паллиативной медицинской помощи, </w:t>
      </w:r>
      <w:r>
        <w:rPr>
          <w:bCs/>
          <w:sz w:val="28"/>
          <w:szCs w:val="28"/>
        </w:rPr>
        <w:t xml:space="preserve">в течение одного рабочего дня с даты оформления заключения ВК, направляет на электронный </w:t>
      </w:r>
      <w:r>
        <w:rPr>
          <w:bCs/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VipNet ГБУЗ НСО РСДР </w:t>
      </w:r>
      <w:r>
        <w:rPr>
          <w:sz w:val="28"/>
          <w:szCs w:val="28"/>
        </w:rPr>
        <w:t xml:space="preserve">5 главному внештатному </w:t>
      </w:r>
      <w:r>
        <w:rPr>
          <w:sz w:val="28"/>
          <w:szCs w:val="28"/>
        </w:rPr>
        <w:t xml:space="preserve">детскому </w:t>
      </w:r>
      <w:r>
        <w:rPr>
          <w:sz w:val="28"/>
          <w:szCs w:val="28"/>
        </w:rPr>
        <w:t xml:space="preserve">специалисту по паллиативной </w:t>
      </w:r>
      <w:r>
        <w:rPr>
          <w:sz w:val="28"/>
          <w:szCs w:val="28"/>
        </w:rPr>
        <w:t xml:space="preserve">медицинской помощи</w:t>
      </w:r>
      <w:r>
        <w:rPr>
          <w:sz w:val="28"/>
          <w:szCs w:val="28"/>
        </w:rPr>
        <w:t xml:space="preserve"> министерства здравоохранения Ново</w:t>
      </w:r>
      <w:r>
        <w:rPr>
          <w:sz w:val="28"/>
          <w:szCs w:val="28"/>
        </w:rPr>
        <w:t xml:space="preserve">сибирской области </w:t>
      </w:r>
      <w:r>
        <w:rPr>
          <w:bCs/>
          <w:sz w:val="28"/>
          <w:szCs w:val="28"/>
        </w:rPr>
        <w:t xml:space="preserve">информацию о ребенке </w:t>
      </w:r>
      <w:r>
        <w:rPr>
          <w:bCs/>
          <w:sz w:val="28"/>
          <w:szCs w:val="28"/>
        </w:rPr>
        <w:t xml:space="preserve">вместе с </w:t>
      </w:r>
      <w:r>
        <w:rPr>
          <w:bCs/>
          <w:sz w:val="28"/>
          <w:szCs w:val="28"/>
        </w:rPr>
        <w:t xml:space="preserve">медицинским заключением</w:t>
      </w:r>
      <w:r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 установлении</w:t>
      </w:r>
      <w:r>
        <w:rPr>
          <w:bCs/>
          <w:sz w:val="28"/>
          <w:szCs w:val="28"/>
        </w:rPr>
        <w:t xml:space="preserve"> паллиативного статуса</w:t>
      </w:r>
      <w:r>
        <w:rPr>
          <w:bCs/>
          <w:sz w:val="28"/>
          <w:szCs w:val="28"/>
        </w:rPr>
        <w:t xml:space="preserve"> (п</w:t>
      </w:r>
      <w:r>
        <w:rPr>
          <w:bCs/>
          <w:sz w:val="28"/>
          <w:szCs w:val="28"/>
        </w:rPr>
        <w:t xml:space="preserve">риложение № 1</w:t>
      </w:r>
      <w:r>
        <w:rPr>
          <w:bCs/>
          <w:sz w:val="28"/>
          <w:szCs w:val="28"/>
        </w:rPr>
        <w:t xml:space="preserve"> к Алгоритму)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звещением для внесения в Регистр учета детей, нуждающихся в оказании паллиативной медицинской помощи на территории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</w:t>
      </w:r>
      <w:r>
        <w:rPr>
          <w:bCs/>
          <w:sz w:val="28"/>
          <w:szCs w:val="28"/>
        </w:rPr>
        <w:t xml:space="preserve">риложение № 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Алгоритму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 информированным добровольным согласи</w:t>
      </w:r>
      <w:r>
        <w:rPr>
          <w:bCs/>
          <w:sz w:val="28"/>
          <w:szCs w:val="28"/>
        </w:rPr>
        <w:t xml:space="preserve">ем на медицинское вмешательство.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Медицинское заключение вносится в медицинску</w:t>
      </w:r>
      <w:r>
        <w:rPr>
          <w:rFonts w:ascii="Times New Roman" w:hAnsi="Times New Roman"/>
          <w:sz w:val="28"/>
          <w:szCs w:val="28"/>
          <w:lang w:eastAsia="ru-RU"/>
        </w:rPr>
        <w:t xml:space="preserve">ю документацию пациента. Копия м</w:t>
      </w:r>
      <w:r>
        <w:rPr>
          <w:rFonts w:ascii="Times New Roman" w:hAnsi="Times New Roman"/>
          <w:sz w:val="28"/>
          <w:szCs w:val="28"/>
          <w:lang w:eastAsia="ru-RU"/>
        </w:rPr>
        <w:t xml:space="preserve">едицинского заключения направляется в медицинскую организацию, в которой пациент получает первичную медико-санитарную помощь, и медицинскую организацию, оказывающую паллиативную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специализированную медицинскую помощь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амбулаторных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выдается на руки пациенту или его законному представителю.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1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Отделение выездной патронажной паллиативной медицинской помощи детям осуществляет п</w:t>
      </w:r>
      <w:r>
        <w:rPr>
          <w:sz w:val="28"/>
          <w:szCs w:val="28"/>
        </w:rPr>
        <w:t xml:space="preserve">ервый визит в семью не позднее 2 (двух</w:t>
      </w:r>
      <w:r>
        <w:rPr>
          <w:sz w:val="28"/>
          <w:szCs w:val="28"/>
        </w:rPr>
        <w:t xml:space="preserve">) рабочих дней</w:t>
      </w:r>
      <w:r>
        <w:rPr>
          <w:sz w:val="28"/>
          <w:szCs w:val="28"/>
        </w:rPr>
        <w:t xml:space="preserve"> с даты регистрации заключения, или даты выписки пациента из стационара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заключение о </w:t>
      </w:r>
      <w:r>
        <w:rPr>
          <w:sz w:val="28"/>
          <w:szCs w:val="28"/>
        </w:rPr>
        <w:t xml:space="preserve">присвоение</w:t>
      </w:r>
      <w:r>
        <w:rPr>
          <w:sz w:val="28"/>
          <w:szCs w:val="28"/>
        </w:rPr>
        <w:t xml:space="preserve"> статуса </w:t>
      </w:r>
      <w:r>
        <w:rPr>
          <w:sz w:val="28"/>
          <w:szCs w:val="28"/>
        </w:rPr>
        <w:t xml:space="preserve">оформлено в стационаре. </w:t>
      </w:r>
      <w:r>
        <w:rPr>
          <w:sz w:val="28"/>
          <w:szCs w:val="28"/>
        </w:rPr>
        <w:t xml:space="preserve">В ходе</w:t>
      </w:r>
      <w:r>
        <w:rPr>
          <w:sz w:val="28"/>
          <w:szCs w:val="28"/>
        </w:rPr>
        <w:t xml:space="preserve"> визита</w:t>
      </w:r>
      <w:r>
        <w:rPr>
          <w:sz w:val="28"/>
          <w:szCs w:val="28"/>
        </w:rPr>
        <w:t xml:space="preserve"> уточняются запросы и потребности ребенка и семьи, согласовывается график дальнейших посещений, который составляется с учетом медицинских и социальных показаний ребенка.</w:t>
      </w:r>
      <w:r>
        <w:rPr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визита </w:t>
      </w:r>
      <w:r>
        <w:rPr>
          <w:sz w:val="28"/>
          <w:szCs w:val="28"/>
        </w:rPr>
        <w:t xml:space="preserve">специалистов отделения</w:t>
      </w:r>
      <w:r>
        <w:rPr>
          <w:sz w:val="28"/>
          <w:szCs w:val="28"/>
        </w:rPr>
        <w:t xml:space="preserve"> выездной патронажной паллиативной медицинской помощи детям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врачом-педиатром </w:t>
      </w:r>
      <w:r>
        <w:rPr>
          <w:sz w:val="28"/>
          <w:szCs w:val="28"/>
        </w:rPr>
        <w:t xml:space="preserve">отделения</w:t>
      </w:r>
      <w:r>
        <w:rPr>
          <w:sz w:val="28"/>
          <w:szCs w:val="28"/>
        </w:rPr>
        <w:t xml:space="preserve"> выездной патронажной паллиативной медицинской помощи детям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составляется инди</w:t>
      </w:r>
      <w:r>
        <w:rPr>
          <w:sz w:val="28"/>
          <w:szCs w:val="28"/>
        </w:rPr>
        <w:t xml:space="preserve">видуальный план ведения ребенка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нуждающегося в оказании паллиативной помощи </w:t>
      </w:r>
      <w:r>
        <w:rPr>
          <w:sz w:val="28"/>
          <w:szCs w:val="28"/>
        </w:rPr>
        <w:t xml:space="preserve">(далее - индивидуальный план) </w:t>
      </w:r>
      <w:r>
        <w:rPr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приложение № 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Алгоритму</w:t>
      </w:r>
      <w:r>
        <w:rPr>
          <w:bCs/>
          <w:sz w:val="28"/>
          <w:szCs w:val="28"/>
        </w:rPr>
        <w:t xml:space="preserve">)</w:t>
      </w:r>
      <w:r>
        <w:rPr>
          <w:sz w:val="28"/>
          <w:szCs w:val="28"/>
        </w:rPr>
        <w:t xml:space="preserve"> в двух</w:t>
      </w:r>
      <w:r>
        <w:rPr>
          <w:sz w:val="28"/>
          <w:szCs w:val="28"/>
        </w:rPr>
        <w:t xml:space="preserve"> экземплярах</w:t>
      </w:r>
      <w:r>
        <w:rPr>
          <w:sz w:val="28"/>
          <w:szCs w:val="28"/>
        </w:rPr>
        <w:t xml:space="preserve">, а также своевременно вносятся данные в медицинскую информационную систему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МИС). Один</w:t>
      </w:r>
      <w:r>
        <w:rPr>
          <w:sz w:val="28"/>
          <w:szCs w:val="28"/>
        </w:rPr>
        <w:t xml:space="preserve"> экземпляр </w:t>
      </w:r>
      <w:r>
        <w:rPr>
          <w:sz w:val="28"/>
          <w:szCs w:val="28"/>
        </w:rPr>
        <w:t xml:space="preserve">инди</w:t>
      </w:r>
      <w:r>
        <w:rPr>
          <w:sz w:val="28"/>
          <w:szCs w:val="28"/>
        </w:rPr>
        <w:t xml:space="preserve">видуального плана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передастся родителям</w:t>
      </w:r>
      <w:r>
        <w:rPr>
          <w:sz w:val="28"/>
          <w:szCs w:val="28"/>
        </w:rPr>
        <w:t xml:space="preserve">/законным представителям ребенка, второй экземпляр вносится в медицинскую карту ребенка </w:t>
      </w:r>
      <w:r>
        <w:rPr>
          <w:sz w:val="28"/>
          <w:szCs w:val="28"/>
        </w:rPr>
        <w:t xml:space="preserve">отделения</w:t>
      </w:r>
      <w:r>
        <w:rPr>
          <w:sz w:val="28"/>
          <w:szCs w:val="28"/>
        </w:rPr>
        <w:t xml:space="preserve"> выездной патронажной паллиативной медицинской помощи детям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Дальнейшее наблюдение </w:t>
      </w:r>
      <w:r>
        <w:rPr>
          <w:sz w:val="28"/>
          <w:szCs w:val="28"/>
        </w:rPr>
        <w:t xml:space="preserve">специалистами отделения</w:t>
      </w:r>
      <w:r>
        <w:rPr>
          <w:sz w:val="28"/>
          <w:szCs w:val="28"/>
        </w:rPr>
        <w:t xml:space="preserve"> выездной патронажной паллиативной медицинской помощи детям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пациента </w:t>
      </w:r>
      <w:r>
        <w:rPr>
          <w:color w:val="000000"/>
          <w:sz w:val="28"/>
          <w:szCs w:val="28"/>
        </w:rPr>
        <w:t xml:space="preserve">с установленным паллиативным статусом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согласно разработанного индивидуального плана с внесением данных осмотра и рекомендаций в МИС.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При возникновении угрожающих жизни состояний, требующих ока</w:t>
      </w:r>
      <w:r>
        <w:rPr>
          <w:bCs/>
          <w:sz w:val="28"/>
          <w:szCs w:val="28"/>
        </w:rPr>
        <w:t xml:space="preserve">зания </w:t>
      </w:r>
      <w:r>
        <w:rPr>
          <w:bCs/>
          <w:sz w:val="28"/>
          <w:szCs w:val="28"/>
        </w:rPr>
        <w:t xml:space="preserve">медицинской помощи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экстренной или неотложной</w:t>
      </w:r>
      <w:r>
        <w:rPr>
          <w:bCs/>
          <w:sz w:val="28"/>
          <w:szCs w:val="28"/>
        </w:rPr>
        <w:t xml:space="preserve"> форме</w:t>
      </w:r>
      <w:r>
        <w:rPr>
          <w:bCs/>
          <w:sz w:val="28"/>
          <w:szCs w:val="28"/>
        </w:rPr>
        <w:t xml:space="preserve">, бригада скорой мед</w:t>
      </w:r>
      <w:r>
        <w:rPr>
          <w:bCs/>
          <w:sz w:val="28"/>
          <w:szCs w:val="28"/>
        </w:rPr>
        <w:t xml:space="preserve">ицинской помощи доставляет пациента, имеющего медицинские показания к оказанию паллиативной медицинской помощи,</w:t>
      </w:r>
      <w:r>
        <w:rPr>
          <w:bCs/>
          <w:sz w:val="28"/>
          <w:szCs w:val="28"/>
        </w:rPr>
        <w:t xml:space="preserve"> в медицинские организации, </w:t>
      </w:r>
      <w:r>
        <w:rPr>
          <w:bCs/>
          <w:sz w:val="28"/>
          <w:szCs w:val="28"/>
        </w:rPr>
        <w:t xml:space="preserve">оказывающие медицинскую</w:t>
      </w:r>
      <w:r>
        <w:rPr>
          <w:bCs/>
          <w:sz w:val="28"/>
          <w:szCs w:val="28"/>
        </w:rPr>
        <w:t xml:space="preserve"> помощь в стационарных условиях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соответствии действующей маршрутизацией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11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В случае возникновения необходимости консультации дете</w:t>
      </w:r>
      <w:r>
        <w:rPr>
          <w:rFonts w:ascii="Times New Roman" w:hAnsi="Times New Roman"/>
          <w:bCs/>
          <w:sz w:val="28"/>
          <w:szCs w:val="28"/>
        </w:rPr>
        <w:t xml:space="preserve">й, имеющих паллиативный статус,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врачами-специалистами,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оказывающих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аллиативную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специализирова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нную медицинскую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помощь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врачами-педиатрами участковыми, иными врачами-специалистами медицинских организаций, оказывающих первичную медико-санитарную помощь, специал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изированную медицинскую помощь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рганизуется </w:t>
      </w:r>
      <w:r>
        <w:rPr>
          <w:rFonts w:ascii="Times New Roman" w:hAnsi="Times New Roman"/>
          <w:bCs/>
          <w:sz w:val="28"/>
          <w:szCs w:val="28"/>
        </w:rPr>
        <w:t xml:space="preserve">телемедицинская консультация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6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Лечащим</w:t>
      </w:r>
      <w:r>
        <w:rPr>
          <w:rFonts w:ascii="Times New Roman" w:hAnsi="Times New Roman"/>
          <w:sz w:val="28"/>
          <w:szCs w:val="28"/>
        </w:rPr>
        <w:t xml:space="preserve"> врачом принимается решение о направлении паллиативного пациента на госпитализацию,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приказа</w:t>
      </w:r>
      <w:r>
        <w:rPr>
          <w:rFonts w:ascii="Times New Roman" w:hAnsi="Times New Roman"/>
          <w:sz w:val="28"/>
          <w:szCs w:val="28"/>
        </w:rPr>
        <w:t xml:space="preserve"> министерства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26.03.24 №784-НПА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организации оказания специализированной (за исключением высокотехнологичной) медицинской помощи с применением Медицинской информационной системы Новосибирской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формируется на</w:t>
      </w:r>
      <w:r>
        <w:rPr>
          <w:rFonts w:ascii="Times New Roman" w:hAnsi="Times New Roman"/>
          <w:sz w:val="28"/>
          <w:szCs w:val="28"/>
        </w:rPr>
        <w:t xml:space="preserve">правление на госпитализацию в МИС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госпитализации ребенка, нуждающегося в паллиативной специализированной медицинской помощи в условиях стационара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принимается заведующими паллиативными отделениями медицинских организаций, подведомствен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  <w:t xml:space="preserve"> министерству здравоохранения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учетом направ</w:t>
      </w:r>
      <w:r>
        <w:rPr>
          <w:sz w:val="28"/>
          <w:szCs w:val="28"/>
        </w:rPr>
        <w:t xml:space="preserve">ленной медицинской документации</w:t>
      </w:r>
      <w:r>
        <w:rPr>
          <w:sz w:val="28"/>
          <w:szCs w:val="28"/>
        </w:rPr>
        <w:t xml:space="preserve"> ребенка, нуждающегося в оказании паллиативной медицинской помощ</w:t>
      </w:r>
      <w:r>
        <w:rPr>
          <w:sz w:val="28"/>
          <w:szCs w:val="28"/>
        </w:rPr>
        <w:t xml:space="preserve">и, показаний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противопоказан</w:t>
      </w:r>
      <w:r>
        <w:rPr>
          <w:sz w:val="28"/>
          <w:szCs w:val="28"/>
        </w:rPr>
        <w:t xml:space="preserve">ий и утвержденной маршрутизации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случае, если в данный момент ребенок не нуждается в паллиативной специализированной медицинской помощи в условиях стационара, он передается под наблюдение выездной патронажной службы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ГБУЗ НСО «ДЛРЦ», ГБУЗ НСО «НКРБ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1», ГБУЗ НСО «Татарская ЦРБ им.70-летия НСО», ГБУЗ НСО «Тогучинская ЦРБ», ГБУЗ НСО «</w:t>
      </w:r>
      <w:r>
        <w:rPr>
          <w:sz w:val="28"/>
          <w:szCs w:val="28"/>
        </w:rPr>
        <w:t xml:space="preserve">Карасукская ЦРБ»,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маршрутизации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5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 Информация о выписке пациента за о</w:t>
      </w:r>
      <w:r>
        <w:rPr>
          <w:sz w:val="28"/>
          <w:szCs w:val="28"/>
        </w:rPr>
        <w:t xml:space="preserve">дин день до окончания срока госпитализации направляется в медицинскую организацию, оказывающую первичную медико-санитарную помощь, по месту жительства (фактического пребывания) ребенка посредством передачи актива в медицинской информационной системе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МИС) под наблюдение леча</w:t>
      </w:r>
      <w:r>
        <w:rPr>
          <w:sz w:val="28"/>
          <w:szCs w:val="28"/>
        </w:rPr>
        <w:t xml:space="preserve">щего врача и </w:t>
      </w:r>
      <w:r>
        <w:rPr>
          <w:sz w:val="28"/>
          <w:szCs w:val="28"/>
        </w:rPr>
        <w:t xml:space="preserve">медицинскую организацию, оказывающую паллиативную специализированную медицинскую помощь в амбулаторных условиях согласно утвержденной маршрутизации.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5"/>
        <w:contextual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 При выписке пациента из медицинской организации, оказывающей паллиативную специализированную медицинскую помощь в стационарных условиях, пациенту либо его законному представителю, </w:t>
      </w:r>
      <w:r>
        <w:rPr>
          <w:sz w:val="28"/>
          <w:szCs w:val="28"/>
        </w:rPr>
        <w:t xml:space="preserve">близким родственникам (родители,</w:t>
      </w:r>
      <w:r>
        <w:rPr>
          <w:sz w:val="28"/>
          <w:szCs w:val="28"/>
        </w:rPr>
        <w:t xml:space="preserve"> усыновители, родн</w:t>
      </w:r>
      <w:r>
        <w:rPr>
          <w:sz w:val="28"/>
          <w:szCs w:val="28"/>
        </w:rPr>
        <w:t xml:space="preserve">ые братья и родные сестры</w:t>
      </w:r>
      <w:r>
        <w:rPr>
          <w:sz w:val="28"/>
          <w:szCs w:val="28"/>
        </w:rPr>
        <w:t xml:space="preserve">, дедушки, ба</w:t>
      </w:r>
      <w:r>
        <w:rPr>
          <w:sz w:val="28"/>
          <w:szCs w:val="28"/>
        </w:rPr>
        <w:t xml:space="preserve">бушки) </w:t>
      </w:r>
      <w:r>
        <w:rPr>
          <w:sz w:val="28"/>
          <w:szCs w:val="28"/>
        </w:rPr>
        <w:t xml:space="preserve">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</w:t>
      </w:r>
      <w:r>
        <w:rPr>
          <w:sz w:val="28"/>
          <w:szCs w:val="28"/>
        </w:rPr>
        <w:t xml:space="preserve">добровольном согласии на медицинское вмешательство, выдается выписка из медицинской документации пациента, в которой указываются рекомендации по дальнейшему наблюдению, лечению, в том числе по организации респираторной поддержки и ухода в амбулаторных усло</w:t>
      </w:r>
      <w:r>
        <w:rPr>
          <w:sz w:val="28"/>
          <w:szCs w:val="28"/>
        </w:rPr>
        <w:t xml:space="preserve">виях (на дому). Копия указанной выписки направляется в медицинскую организацию, в которой пациент получает первичную медико-санитарную помощь, и медицинскую организацию, оказывающую паллиативную специализированную медицинскую помощь в амбулаторных условиях</w:t>
      </w:r>
      <w:r>
        <w:rPr>
          <w:sz w:val="28"/>
          <w:szCs w:val="28"/>
        </w:rPr>
        <w:t xml:space="preserve"> согласно утвержденной маршрутизации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рабочих дней после выписки пациента медицинская организация, получившая информацию о пациенте, нуждающемся в оказании паллиативной медицинской помощи, организует первичный осмотр и дальнейшее наблюдение пациента.</w:t>
      </w:r>
      <w:r>
        <w:rPr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 Наблюдение пациента специалистами отделения выездной патронажной паллиативной меди</w:t>
      </w:r>
      <w:r>
        <w:rPr>
          <w:sz w:val="28"/>
          <w:szCs w:val="28"/>
        </w:rPr>
        <w:t xml:space="preserve">цинской помощи детям осуществляе</w:t>
      </w:r>
      <w:r>
        <w:rPr>
          <w:sz w:val="28"/>
          <w:szCs w:val="28"/>
        </w:rPr>
        <w:t xml:space="preserve">тся по индиви</w:t>
      </w:r>
      <w:r>
        <w:rPr>
          <w:sz w:val="28"/>
          <w:szCs w:val="28"/>
        </w:rPr>
        <w:t xml:space="preserve">дуальному плану</w:t>
      </w:r>
      <w:r>
        <w:rPr>
          <w:sz w:val="28"/>
          <w:szCs w:val="28"/>
        </w:rPr>
        <w:t xml:space="preserve">, в том числе по их вызову, но не реже одного раза в месяц, общение по телефонной связи осуществляется с учетом потребности </w:t>
      </w:r>
      <w:r>
        <w:rPr>
          <w:sz w:val="28"/>
          <w:szCs w:val="28"/>
        </w:rPr>
        <w:t xml:space="preserve">пациента.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Главный врач государственного бюджетного учреждения здравоохранения Новосибирской области</w:t>
      </w:r>
      <w:r>
        <w:rPr>
          <w:sz w:val="28"/>
          <w:szCs w:val="28"/>
        </w:rPr>
        <w:t xml:space="preserve"> «Станция скорой медицинской помощи», главные врачи центральных районных больниц, главные</w:t>
      </w:r>
      <w:r>
        <w:rPr>
          <w:sz w:val="28"/>
          <w:szCs w:val="28"/>
        </w:rPr>
        <w:t xml:space="preserve"> врачи центральных городских больниц при возникновении у ребенка, находящегося на дому, угрожающих жизни состояний, требующих оказания экстренной или неотложной медицинской помощи организуют транспортировку в соответствии с приказами министерства здравоохр</w:t>
      </w:r>
      <w:r>
        <w:rPr>
          <w:sz w:val="28"/>
          <w:szCs w:val="28"/>
        </w:rPr>
        <w:t xml:space="preserve">анения Новосибирской области </w:t>
      </w:r>
      <w:r>
        <w:rPr>
          <w:sz w:val="28"/>
          <w:szCs w:val="28"/>
        </w:rPr>
        <w:t xml:space="preserve">от 07.11.2023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3016-НПА «О маршрут</w:t>
      </w:r>
      <w:r>
        <w:rPr>
          <w:sz w:val="28"/>
          <w:szCs w:val="28"/>
        </w:rPr>
        <w:t xml:space="preserve">изации детей при круглосуточной </w:t>
      </w:r>
      <w:r>
        <w:rPr>
          <w:sz w:val="28"/>
          <w:szCs w:val="28"/>
        </w:rPr>
        <w:t xml:space="preserve">госпитализации по экстренным и неот</w:t>
      </w:r>
      <w:r>
        <w:rPr>
          <w:sz w:val="28"/>
          <w:szCs w:val="28"/>
        </w:rPr>
        <w:t xml:space="preserve">ложным показаниям на территории </w:t>
      </w:r>
      <w:r>
        <w:rPr>
          <w:sz w:val="28"/>
          <w:szCs w:val="28"/>
        </w:rPr>
        <w:t xml:space="preserve">Новосибирской области и при</w:t>
      </w:r>
      <w:r>
        <w:rPr>
          <w:sz w:val="28"/>
          <w:szCs w:val="28"/>
        </w:rPr>
        <w:t xml:space="preserve">знании утратившими силу приказы</w:t>
      </w:r>
      <w:r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 23.01.2018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158 «О маршрутизации несовершеннолетних в возрасте от 15 лет до 17 лет 11 месяцев 29 дней при госпитализации на территории Новосибирской области».</w:t>
      </w:r>
      <w:r>
        <w:rPr>
          <w:sz w:val="28"/>
          <w:szCs w:val="28"/>
        </w:rPr>
      </w:r>
    </w:p>
    <w:p>
      <w:pPr>
        <w:pStyle w:val="676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достижении ребенком, получающим паллиативную медицинскую помощь, возраста 18 лет с целью обеспечения преемственности оказания паллиативной медицинской помощи выписка из его медицинской документации направляется в мед</w:t>
      </w:r>
      <w:r>
        <w:rPr>
          <w:rFonts w:ascii="Times New Roman" w:hAnsi="Times New Roman"/>
          <w:sz w:val="28"/>
          <w:szCs w:val="28"/>
          <w:lang w:eastAsia="ru-RU"/>
        </w:rPr>
        <w:t xml:space="preserve">ицинскую организацию, в которой пациент получает первичную медико-санитарную помощь, а также в медицинскую организацию, оказывающую паллиативную специализированную медицинскую помощь в амбулаторных условиях взрослым, не менее чем за 90 рабочих дней до дост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ижения ребенком возраста 18 лет.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4050409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03" w:hanging="360"/>
        <w:tabs>
          <w:tab w:val="num" w:pos="100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363" w:hanging="360"/>
        <w:tabs>
          <w:tab w:val="num" w:pos="13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723" w:hanging="360"/>
        <w:tabs>
          <w:tab w:val="num" w:pos="172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83" w:hanging="360"/>
        <w:tabs>
          <w:tab w:val="num" w:pos="208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443" w:hanging="360"/>
        <w:tabs>
          <w:tab w:val="num" w:pos="244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03" w:hanging="360"/>
        <w:tabs>
          <w:tab w:val="num" w:pos="280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163" w:hanging="360"/>
        <w:tabs>
          <w:tab w:val="num" w:pos="31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523" w:hanging="360"/>
        <w:tabs>
          <w:tab w:val="num" w:pos="3523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8" w:hanging="1410"/>
      </w:pPr>
      <w:rPr>
        <w:rFonts w:ascii="Times New Roman" w:hAnsi="Times New Roman" w:eastAsia="Calibri" w:cs="Times New Roman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9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15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7">
    <w:name w:val="Заголовок 1"/>
    <w:basedOn w:val="676"/>
    <w:next w:val="677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678">
    <w:name w:val="Основной шрифт абзаца"/>
    <w:next w:val="678"/>
    <w:link w:val="676"/>
    <w:uiPriority w:val="1"/>
    <w:unhideWhenUsed/>
  </w:style>
  <w:style w:type="table" w:styleId="679">
    <w:name w:val="Обычная таблица"/>
    <w:next w:val="679"/>
    <w:link w:val="676"/>
    <w:uiPriority w:val="99"/>
    <w:semiHidden/>
    <w:unhideWhenUsed/>
    <w:tblPr/>
  </w:style>
  <w:style w:type="numbering" w:styleId="680">
    <w:name w:val="Нет списка"/>
    <w:next w:val="680"/>
    <w:link w:val="676"/>
    <w:uiPriority w:val="99"/>
    <w:semiHidden/>
    <w:unhideWhenUsed/>
  </w:style>
  <w:style w:type="character" w:styleId="681">
    <w:name w:val="Заголовок 1 Знак"/>
    <w:next w:val="681"/>
    <w:link w:val="677"/>
    <w:uiPriority w:val="9"/>
    <w:rPr>
      <w:rFonts w:ascii="Times New Roman" w:hAnsi="Times New Roman" w:eastAsia="Calibri" w:cs="Times New Roman"/>
      <w:b/>
      <w:bCs/>
      <w:sz w:val="48"/>
      <w:szCs w:val="48"/>
      <w:lang w:eastAsia="ru-RU"/>
    </w:rPr>
  </w:style>
  <w:style w:type="paragraph" w:styleId="682">
    <w:name w:val="Текст выноски"/>
    <w:basedOn w:val="676"/>
    <w:next w:val="682"/>
    <w:link w:val="68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3">
    <w:name w:val="Текст выноски Знак"/>
    <w:next w:val="683"/>
    <w:link w:val="682"/>
    <w:uiPriority w:val="99"/>
    <w:semiHidden/>
    <w:rPr>
      <w:rFonts w:ascii="Tahoma" w:hAnsi="Tahoma" w:eastAsia="Calibri" w:cs="Tahoma"/>
      <w:sz w:val="16"/>
      <w:szCs w:val="16"/>
    </w:rPr>
  </w:style>
  <w:style w:type="paragraph" w:styleId="684">
    <w:name w:val="Абзац списка"/>
    <w:basedOn w:val="676"/>
    <w:next w:val="684"/>
    <w:link w:val="676"/>
    <w:uiPriority w:val="34"/>
    <w:qFormat/>
    <w:pPr>
      <w:contextualSpacing/>
      <w:ind w:left="720"/>
    </w:pPr>
  </w:style>
  <w:style w:type="paragraph" w:styleId="685">
    <w:name w:val="ConsPlusNormal"/>
    <w:next w:val="685"/>
    <w:link w:val="676"/>
    <w:qFormat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character" w:styleId="686">
    <w:name w:val="Интернет-ссылка"/>
    <w:next w:val="686"/>
    <w:link w:val="676"/>
    <w:rPr>
      <w:color w:val="000080"/>
      <w:u w:val="single"/>
    </w:rPr>
  </w:style>
  <w:style w:type="table" w:styleId="687">
    <w:name w:val="Сетка таблицы"/>
    <w:basedOn w:val="679"/>
    <w:next w:val="687"/>
    <w:link w:val="67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688">
    <w:name w:val="Верхний колонтитул"/>
    <w:basedOn w:val="676"/>
    <w:next w:val="688"/>
    <w:link w:val="68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89">
    <w:name w:val="Верхний колонтитул Знак"/>
    <w:next w:val="689"/>
    <w:link w:val="688"/>
    <w:uiPriority w:val="99"/>
    <w:rPr>
      <w:rFonts w:ascii="Calibri" w:hAnsi="Calibri" w:eastAsia="Calibri" w:cs="Times New Roman"/>
    </w:rPr>
  </w:style>
  <w:style w:type="paragraph" w:styleId="690">
    <w:name w:val="Нижний колонтитул"/>
    <w:basedOn w:val="676"/>
    <w:next w:val="690"/>
    <w:link w:val="69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91">
    <w:name w:val="Нижний колонтитул Знак"/>
    <w:next w:val="691"/>
    <w:link w:val="690"/>
    <w:uiPriority w:val="99"/>
    <w:rPr>
      <w:rFonts w:ascii="Calibri" w:hAnsi="Calibri" w:eastAsia="Calibri" w:cs="Times New Roman"/>
    </w:rPr>
  </w:style>
  <w:style w:type="character" w:styleId="692">
    <w:name w:val="Знак примечания"/>
    <w:next w:val="692"/>
    <w:link w:val="676"/>
    <w:uiPriority w:val="99"/>
    <w:semiHidden/>
    <w:unhideWhenUsed/>
    <w:rPr>
      <w:sz w:val="16"/>
      <w:szCs w:val="16"/>
    </w:rPr>
  </w:style>
  <w:style w:type="paragraph" w:styleId="693">
    <w:name w:val="Текст примечания"/>
    <w:basedOn w:val="676"/>
    <w:next w:val="693"/>
    <w:link w:val="694"/>
    <w:uiPriority w:val="99"/>
    <w:semiHidden/>
    <w:unhideWhenUsed/>
    <w:rPr>
      <w:sz w:val="20"/>
      <w:szCs w:val="20"/>
      <w:lang w:val="en-US" w:eastAsia="en-US"/>
    </w:rPr>
  </w:style>
  <w:style w:type="character" w:styleId="694">
    <w:name w:val="Текст примечания Знак"/>
    <w:next w:val="694"/>
    <w:link w:val="693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95">
    <w:name w:val="Тема примечания"/>
    <w:basedOn w:val="693"/>
    <w:next w:val="693"/>
    <w:link w:val="696"/>
    <w:uiPriority w:val="99"/>
    <w:semiHidden/>
    <w:unhideWhenUsed/>
    <w:rPr>
      <w:b/>
      <w:bCs/>
    </w:rPr>
  </w:style>
  <w:style w:type="character" w:styleId="696">
    <w:name w:val="Тема примечания Знак"/>
    <w:next w:val="696"/>
    <w:link w:val="695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697">
    <w:name w:val="Основной текст_"/>
    <w:next w:val="697"/>
    <w:link w:val="704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character" w:styleId="698">
    <w:name w:val="Основной текст + 11 pt;Не полужирный"/>
    <w:next w:val="698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styleId="699">
    <w:name w:val="Основной текст + 8;5 pt"/>
    <w:next w:val="699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17"/>
      <w:szCs w:val="17"/>
      <w:u w:val="none"/>
      <w:lang w:val="ru-RU"/>
    </w:rPr>
  </w:style>
  <w:style w:type="character" w:styleId="700">
    <w:name w:val="Основной текст + 11 pt"/>
    <w:next w:val="700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styleId="701">
    <w:name w:val="Основной текст + 11;5 pt;Не полужирный"/>
    <w:next w:val="701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</w:rPr>
  </w:style>
  <w:style w:type="character" w:styleId="702">
    <w:name w:val="Основной текст + MS Gothic;14;5 pt;Не полужирный"/>
    <w:next w:val="702"/>
    <w:link w:val="676"/>
    <w:rPr>
      <w:rFonts w:ascii="MS Gothic" w:hAnsi="MS Gothic" w:eastAsia="MS Gothic" w:cs="MS Gothic"/>
      <w:b/>
      <w:bCs/>
      <w:color w:val="000000"/>
      <w:spacing w:val="0"/>
      <w:position w:val="0"/>
      <w:sz w:val="29"/>
      <w:szCs w:val="29"/>
      <w:u w:val="none"/>
    </w:rPr>
  </w:style>
  <w:style w:type="character" w:styleId="703">
    <w:name w:val="Основной текст + 11 pt;Не полужирный;Курсив"/>
    <w:next w:val="703"/>
    <w:link w:val="676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paragraph" w:styleId="704">
    <w:name w:val="Основной текст2"/>
    <w:basedOn w:val="676"/>
    <w:next w:val="704"/>
    <w:link w:val="697"/>
    <w:pPr>
      <w:jc w:val="center"/>
      <w:spacing w:before="240" w:after="360" w:line="0" w:lineRule="atLeas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val="en-US" w:eastAsia="en-US"/>
    </w:rPr>
  </w:style>
  <w:style w:type="character" w:styleId="705">
    <w:name w:val="Подпись к таблице_"/>
    <w:next w:val="705"/>
    <w:link w:val="706"/>
    <w:rPr>
      <w:rFonts w:ascii="Times New Roman" w:hAnsi="Times New Roman" w:eastAsia="Times New Roman"/>
      <w:shd w:val="clear" w:color="auto" w:fill="ffffff"/>
    </w:rPr>
  </w:style>
  <w:style w:type="paragraph" w:styleId="706">
    <w:name w:val="Подпись к таблице"/>
    <w:basedOn w:val="676"/>
    <w:next w:val="706"/>
    <w:link w:val="705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0"/>
      <w:szCs w:val="20"/>
      <w:lang w:val="en-US" w:eastAsia="en-US"/>
    </w:rPr>
  </w:style>
  <w:style w:type="paragraph" w:styleId="707">
    <w:name w:val="Текст сноски"/>
    <w:basedOn w:val="676"/>
    <w:next w:val="707"/>
    <w:link w:val="70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708">
    <w:name w:val="Текст сноски Знак"/>
    <w:next w:val="708"/>
    <w:link w:val="70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9">
    <w:name w:val="Знак сноски"/>
    <w:next w:val="709"/>
    <w:link w:val="676"/>
    <w:uiPriority w:val="99"/>
    <w:semiHidden/>
    <w:unhideWhenUsed/>
    <w:rPr>
      <w:vertAlign w:val="superscript"/>
    </w:rPr>
  </w:style>
  <w:style w:type="paragraph" w:styleId="710">
    <w:name w:val="Основной текст1"/>
    <w:basedOn w:val="676"/>
    <w:next w:val="710"/>
    <w:link w:val="676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color w:val="000000"/>
      <w:sz w:val="26"/>
      <w:szCs w:val="26"/>
      <w:lang w:eastAsia="ru-RU" w:bidi="ru-RU"/>
    </w:rPr>
  </w:style>
  <w:style w:type="character" w:styleId="711">
    <w:name w:val="docdata,docy,v5,1637,bqiaagaaeyqcaaagiaiaaapmbqaabdofaaaaaaaaaaaaaaaaaaaaaaaaaaaaaaaaaaaaaaaaaaaaaaaaaaaaaaaaaaaaaaaaaaaaaaaaaaaaaaaaaaaaaaaaaaaaaaaaaaaaaaaaaaaaaaaaaaaaaaaaaaaaaaaaaaaaaaaaaaaaaaaaaaaaaaaaaaaaaaaaaaaaaaaaaaaaaaaaaaaaaaaaaaaaaaaaaaaaaaaa"/>
    <w:next w:val="711"/>
    <w:link w:val="676"/>
  </w:style>
  <w:style w:type="character" w:styleId="712">
    <w:name w:val="Выделение"/>
    <w:next w:val="712"/>
    <w:link w:val="676"/>
    <w:uiPriority w:val="20"/>
    <w:qFormat/>
    <w:rPr>
      <w:i/>
      <w:iCs/>
    </w:rPr>
  </w:style>
  <w:style w:type="paragraph" w:styleId="713">
    <w:name w:val="Рецензия"/>
    <w:next w:val="713"/>
    <w:link w:val="676"/>
    <w:hidden/>
    <w:uiPriority w:val="99"/>
    <w:semiHidden/>
    <w:rPr>
      <w:sz w:val="22"/>
      <w:szCs w:val="22"/>
      <w:lang w:val="ru-RU" w:eastAsia="en-US" w:bidi="ar-SA"/>
    </w:rPr>
  </w:style>
  <w:style w:type="character" w:styleId="1328" w:default="1">
    <w:name w:val="Default Paragraph Font"/>
    <w:uiPriority w:val="1"/>
    <w:semiHidden/>
    <w:unhideWhenUsed/>
  </w:style>
  <w:style w:type="numbering" w:styleId="1329" w:default="1">
    <w:name w:val="No List"/>
    <w:uiPriority w:val="99"/>
    <w:semiHidden/>
    <w:unhideWhenUsed/>
  </w:style>
  <w:style w:type="table" w:styleId="13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revision>58</cp:revision>
  <dcterms:created xsi:type="dcterms:W3CDTF">2023-08-08T11:41:00Z</dcterms:created>
  <dcterms:modified xsi:type="dcterms:W3CDTF">2025-07-04T10:56:17Z</dcterms:modified>
  <cp:version>1048576</cp:version>
</cp:coreProperties>
</file>